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739C3" w14:textId="287F3539" w:rsidR="00BC6486" w:rsidRDefault="001B08FC" w:rsidP="00BC6486">
      <w:pPr>
        <w:pStyle w:val="Heading"/>
        <w:ind w:left="3600" w:firstLine="720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anchor distT="0" distB="0" distL="114935" distR="114935" simplePos="0" relativeHeight="251658752" behindDoc="0" locked="0" layoutInCell="1" allowOverlap="1" wp14:anchorId="1939F860" wp14:editId="43373472">
            <wp:simplePos x="0" y="0"/>
            <wp:positionH relativeFrom="margin">
              <wp:posOffset>-4445</wp:posOffset>
            </wp:positionH>
            <wp:positionV relativeFrom="margin">
              <wp:posOffset>-417195</wp:posOffset>
            </wp:positionV>
            <wp:extent cx="1961515" cy="8210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6B">
        <w:rPr>
          <w:sz w:val="32"/>
          <w:szCs w:val="32"/>
        </w:rPr>
        <w:t>A&amp;S Supplemental Department Funds Request Form</w:t>
      </w:r>
    </w:p>
    <w:p w14:paraId="236FC12A" w14:textId="1E497415" w:rsidR="00FF131F" w:rsidRDefault="001B08FC">
      <w:pPr>
        <w:pStyle w:val="Heading"/>
        <w:rPr>
          <w:smallCaps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A44C1" wp14:editId="5B567167">
                <wp:simplePos x="0" y="0"/>
                <wp:positionH relativeFrom="column">
                  <wp:posOffset>-1590675</wp:posOffset>
                </wp:positionH>
                <wp:positionV relativeFrom="paragraph">
                  <wp:posOffset>120650</wp:posOffset>
                </wp:positionV>
                <wp:extent cx="8793480" cy="0"/>
                <wp:effectExtent l="26670" t="28575" r="28575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3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F0CE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25pt,9.5pt" to="567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" strokeweight="1.06mm">
                <v:stroke joinstyle="miter"/>
              </v:line>
            </w:pict>
          </mc:Fallback>
        </mc:AlternateContent>
      </w:r>
    </w:p>
    <w:p w14:paraId="11521B23" w14:textId="77777777" w:rsidR="00FF131F" w:rsidRDefault="00FF131F">
      <w:pPr>
        <w:pStyle w:val="Subtitle"/>
      </w:pPr>
      <w:r>
        <w:t xml:space="preserve">Instructions: READ CAREFULLY </w:t>
      </w:r>
    </w:p>
    <w:p w14:paraId="15E7CE02" w14:textId="2D26DF67" w:rsidR="00FF131F" w:rsidRDefault="001B08FC">
      <w:pPr>
        <w:pStyle w:val="Subtitle"/>
        <w:rPr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1F2C7DB3" wp14:editId="77D7CED6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6249035" cy="1604010"/>
                <wp:effectExtent l="12700" t="1016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05BA" w14:textId="77777777" w:rsidR="008E0751" w:rsidRDefault="008E0751" w:rsidP="00D918B3">
                            <w:pPr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supplemental department funds </w:t>
                            </w: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>are open to the entire consti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tuency of the departmental GSO, </w:t>
                            </w: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>adhere to all existing rules for use of departmental GSO funds, and do not exceed the funding limits stated below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A7A5EA6" w14:textId="77777777" w:rsidR="008E0751" w:rsidRDefault="008E0751" w:rsidP="008E0751">
                            <w:pPr>
                              <w:ind w:left="720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>$100: Anthropology, Biological Sciences, Chemistry, Computer Science, Economics, English, Mathematics, Philosophy, Physics, Political Science, Psychology</w:t>
                            </w:r>
                          </w:p>
                          <w:p w14:paraId="438DFB58" w14:textId="77777777" w:rsidR="008E0751" w:rsidRDefault="008E0751" w:rsidP="008E0751">
                            <w:pPr>
                              <w:ind w:left="720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$150: All other A&amp;S departments</w:t>
                            </w:r>
                          </w:p>
                          <w:p w14:paraId="38F02E52" w14:textId="77777777" w:rsidR="00612EB1" w:rsidRDefault="00612EB1" w:rsidP="00612EB1">
                            <w:pPr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2E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Departmental GSOs may opt to apply to receive their entire funding limit at once, or to apply for funds in several smaller increments.  </w:t>
                            </w:r>
                          </w:p>
                          <w:p w14:paraId="712DC0F9" w14:textId="3100FD36" w:rsidR="00D918B3" w:rsidRPr="008E0751" w:rsidRDefault="00D918B3" w:rsidP="00D918B3">
                            <w:pPr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Return the above to A&amp;S GSO Administrative Assistant </w:t>
                            </w:r>
                            <w:r w:rsidR="000C1C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8E0751"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 as an attachment to </w:t>
                            </w:r>
                            <w:hyperlink r:id="rId8" w:history="1">
                              <w:r w:rsidR="008E0751" w:rsidRPr="008E075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asgso.pitt@gmail.com</w:t>
                              </w:r>
                            </w:hyperlink>
                            <w:r w:rsidR="008E0751"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>Please don’t hesitate to contact the Ad</w:t>
                            </w:r>
                            <w:r w:rsidR="008E0751"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ministrative Assistant with any </w:t>
                            </w: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questions related to your reimbursement at </w:t>
                            </w:r>
                            <w:hyperlink r:id="rId9" w:history="1">
                              <w:r w:rsidRPr="008E075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asgso@pitt.edu</w:t>
                              </w:r>
                            </w:hyperlink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35111B6" w14:textId="77777777" w:rsidR="00FF131F" w:rsidRDefault="00FF131F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C7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1.45pt;width:492.05pt;height:126.3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" strokeweight="0">
                <v:textbox inset="7.95pt,4.35pt,7.95pt,4.35pt">
                  <w:txbxContent>
                    <w:p w14:paraId="0BBA05BA" w14:textId="77777777" w:rsidR="008E0751" w:rsidRDefault="008E0751" w:rsidP="00D918B3">
                      <w:pPr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The supplemental department funds </w:t>
                      </w:r>
                      <w:r w:rsidRPr="008E0751">
                        <w:rPr>
                          <w:b/>
                          <w:sz w:val="20"/>
                          <w:szCs w:val="20"/>
                        </w:rPr>
                        <w:t>are open to the entire consti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tuency of the departmental GSO, </w:t>
                      </w:r>
                      <w:r w:rsidRPr="008E0751">
                        <w:rPr>
                          <w:b/>
                          <w:sz w:val="20"/>
                          <w:szCs w:val="20"/>
                        </w:rPr>
                        <w:t>adhere to all existing rules for use of departmental GSO funds, and do not exceed the funding limits stated below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A7A5EA6" w14:textId="77777777" w:rsidR="008E0751" w:rsidRDefault="008E0751" w:rsidP="008E0751">
                      <w:pPr>
                        <w:ind w:left="720"/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E0751">
                        <w:rPr>
                          <w:b/>
                          <w:sz w:val="20"/>
                          <w:szCs w:val="20"/>
                        </w:rPr>
                        <w:t>$100: Anthropology, Biological Sciences, Chemistry, Computer Science, Economics, English, Mathematics, Philosophy, Physics, Political Science, Psychology</w:t>
                      </w:r>
                    </w:p>
                    <w:p w14:paraId="438DFB58" w14:textId="77777777" w:rsidR="008E0751" w:rsidRDefault="008E0751" w:rsidP="008E0751">
                      <w:pPr>
                        <w:ind w:left="720"/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$150: All other A&amp;S departments</w:t>
                      </w:r>
                    </w:p>
                    <w:p w14:paraId="38F02E52" w14:textId="77777777" w:rsidR="00612EB1" w:rsidRDefault="00612EB1" w:rsidP="00612EB1">
                      <w:pPr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12EB1">
                        <w:rPr>
                          <w:b/>
                          <w:sz w:val="20"/>
                          <w:szCs w:val="20"/>
                        </w:rPr>
                        <w:t xml:space="preserve">Departmental GSOs may opt to apply to receive their entire funding limit at once, or to apply for funds in several smaller increments.  </w:t>
                      </w:r>
                    </w:p>
                    <w:p w14:paraId="712DC0F9" w14:textId="3100FD36" w:rsidR="00D918B3" w:rsidRPr="008E0751" w:rsidRDefault="00D918B3" w:rsidP="00D918B3">
                      <w:pPr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E0751">
                        <w:rPr>
                          <w:b/>
                          <w:sz w:val="20"/>
                          <w:szCs w:val="20"/>
                        </w:rPr>
                        <w:t xml:space="preserve">Return the above to A&amp;S GSO Administrative Assistant </w:t>
                      </w:r>
                      <w:r w:rsidR="000C1C5E">
                        <w:rPr>
                          <w:b/>
                          <w:sz w:val="20"/>
                          <w:szCs w:val="20"/>
                        </w:rPr>
                        <w:t xml:space="preserve">by </w:t>
                      </w:r>
                      <w:r w:rsidR="008E0751" w:rsidRPr="008E0751">
                        <w:rPr>
                          <w:b/>
                          <w:sz w:val="20"/>
                          <w:szCs w:val="20"/>
                        </w:rPr>
                        <w:t xml:space="preserve">email as an attachment to </w:t>
                      </w:r>
                      <w:hyperlink r:id="rId10" w:history="1">
                        <w:r w:rsidR="008E0751" w:rsidRPr="008E075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asgso.pitt@gmail.com</w:t>
                        </w:r>
                      </w:hyperlink>
                      <w:r w:rsidR="008E0751" w:rsidRPr="008E0751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8E0751">
                        <w:rPr>
                          <w:b/>
                          <w:sz w:val="20"/>
                          <w:szCs w:val="20"/>
                        </w:rPr>
                        <w:t>Please don’t hesitate to contact the Ad</w:t>
                      </w:r>
                      <w:r w:rsidR="008E0751" w:rsidRPr="008E0751">
                        <w:rPr>
                          <w:b/>
                          <w:sz w:val="20"/>
                          <w:szCs w:val="20"/>
                        </w:rPr>
                        <w:t xml:space="preserve">ministrative Assistant with any </w:t>
                      </w:r>
                      <w:r w:rsidRPr="008E0751">
                        <w:rPr>
                          <w:b/>
                          <w:sz w:val="20"/>
                          <w:szCs w:val="20"/>
                        </w:rPr>
                        <w:t xml:space="preserve">questions related to your reimbursement at </w:t>
                      </w:r>
                      <w:hyperlink r:id="rId11" w:history="1">
                        <w:r w:rsidRPr="008E0751">
                          <w:rPr>
                            <w:rStyle w:val="Hyperlink"/>
                            <w:sz w:val="20"/>
                            <w:szCs w:val="20"/>
                          </w:rPr>
                          <w:t>asgso@pitt.edu</w:t>
                        </w:r>
                      </w:hyperlink>
                      <w:r w:rsidRPr="008E0751">
                        <w:rPr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35111B6" w14:textId="77777777" w:rsidR="00FF131F" w:rsidRDefault="00FF131F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6D05B" w14:textId="77777777" w:rsidR="00FF131F" w:rsidRDefault="00FF131F">
      <w:pPr>
        <w:jc w:val="both"/>
      </w:pPr>
    </w:p>
    <w:p w14:paraId="640424A6" w14:textId="77777777" w:rsidR="00FF131F" w:rsidRDefault="00FF131F">
      <w:pPr>
        <w:jc w:val="both"/>
      </w:pPr>
    </w:p>
    <w:p w14:paraId="0DFEDC3C" w14:textId="77777777" w:rsidR="00FF131F" w:rsidRDefault="00FF131F">
      <w:pPr>
        <w:jc w:val="both"/>
      </w:pPr>
    </w:p>
    <w:p w14:paraId="05539ACE" w14:textId="77777777" w:rsidR="00FF131F" w:rsidRDefault="00FF131F">
      <w:pPr>
        <w:jc w:val="both"/>
      </w:pPr>
    </w:p>
    <w:p w14:paraId="73667C5E" w14:textId="77777777" w:rsidR="00FF131F" w:rsidRDefault="00FF131F">
      <w:pPr>
        <w:jc w:val="both"/>
      </w:pPr>
    </w:p>
    <w:p w14:paraId="3DBE1071" w14:textId="77777777" w:rsidR="00FF131F" w:rsidRDefault="00FF131F">
      <w:pPr>
        <w:jc w:val="both"/>
      </w:pPr>
    </w:p>
    <w:p w14:paraId="3F89A747" w14:textId="77777777" w:rsidR="00FF131F" w:rsidRDefault="00FF131F">
      <w:pPr>
        <w:jc w:val="both"/>
      </w:pPr>
    </w:p>
    <w:p w14:paraId="1EE31BAC" w14:textId="77777777" w:rsidR="00FF131F" w:rsidRDefault="00FF131F">
      <w:pPr>
        <w:jc w:val="both"/>
      </w:pPr>
    </w:p>
    <w:p w14:paraId="09A956E7" w14:textId="77777777" w:rsidR="00FF131F" w:rsidRDefault="00FF131F">
      <w:pPr>
        <w:jc w:val="both"/>
        <w:rPr>
          <w:sz w:val="18"/>
          <w:szCs w:val="18"/>
        </w:rPr>
      </w:pPr>
    </w:p>
    <w:p w14:paraId="40777EFC" w14:textId="77777777" w:rsidR="00FF131F" w:rsidRDefault="00FF131F">
      <w:pPr>
        <w:jc w:val="both"/>
      </w:pPr>
      <w:r>
        <w:t>Department _______________________________</w:t>
      </w:r>
    </w:p>
    <w:p w14:paraId="434F63B0" w14:textId="77777777" w:rsidR="00FF131F" w:rsidRDefault="00FF131F">
      <w:pPr>
        <w:jc w:val="both"/>
      </w:pPr>
    </w:p>
    <w:p w14:paraId="57B01E1E" w14:textId="77777777" w:rsidR="00FF131F" w:rsidRDefault="0053026B">
      <w:pPr>
        <w:jc w:val="both"/>
      </w:pPr>
      <w:r>
        <w:t>Event Date:</w:t>
      </w:r>
      <w:r w:rsidR="00FF131F">
        <w:t xml:space="preserve"> _______________________________</w:t>
      </w:r>
      <w:r w:rsidR="00FF131F">
        <w:tab/>
      </w:r>
    </w:p>
    <w:p w14:paraId="1A80542B" w14:textId="77777777" w:rsidR="00FF131F" w:rsidRDefault="00FF131F">
      <w:pPr>
        <w:jc w:val="both"/>
      </w:pPr>
    </w:p>
    <w:p w14:paraId="4829C558" w14:textId="77777777" w:rsidR="00FF131F" w:rsidRDefault="0053026B">
      <w:pPr>
        <w:jc w:val="both"/>
        <w:rPr>
          <w:sz w:val="20"/>
          <w:szCs w:val="20"/>
        </w:rPr>
      </w:pPr>
      <w:r>
        <w:t>Event Description</w:t>
      </w:r>
      <w:r w:rsidR="00FF131F">
        <w:t xml:space="preserve">: </w:t>
      </w:r>
      <w:r>
        <w:t>_______</w:t>
      </w:r>
      <w:r w:rsidR="00FF131F">
        <w:t>____________________________________________________________</w:t>
      </w:r>
    </w:p>
    <w:p w14:paraId="0584A500" w14:textId="77777777" w:rsidR="00FF131F" w:rsidRDefault="00FF131F">
      <w:pPr>
        <w:jc w:val="both"/>
        <w:rPr>
          <w:sz w:val="20"/>
          <w:szCs w:val="20"/>
        </w:rPr>
      </w:pPr>
    </w:p>
    <w:p w14:paraId="4CBAB748" w14:textId="77777777" w:rsidR="00FF131F" w:rsidRDefault="00FF131F">
      <w:pPr>
        <w:jc w:val="both"/>
      </w:pPr>
      <w:r>
        <w:t>__________________________________________________________________________________</w:t>
      </w:r>
    </w:p>
    <w:p w14:paraId="32162D88" w14:textId="77777777" w:rsidR="0053026B" w:rsidRDefault="0053026B">
      <w:pPr>
        <w:jc w:val="both"/>
      </w:pPr>
    </w:p>
    <w:p w14:paraId="17DD9539" w14:textId="77777777" w:rsidR="0053026B" w:rsidRDefault="0053026B">
      <w:pPr>
        <w:jc w:val="both"/>
      </w:pPr>
      <w:r>
        <w:t>__________________________________________________________________________________</w:t>
      </w:r>
    </w:p>
    <w:p w14:paraId="2AB264E1" w14:textId="77777777" w:rsidR="00FF131F" w:rsidRDefault="00612EB1">
      <w:pPr>
        <w:jc w:val="both"/>
      </w:pPr>
      <w:r>
        <w:t xml:space="preserve"> </w:t>
      </w:r>
    </w:p>
    <w:p w14:paraId="18D4D5EC" w14:textId="77777777" w:rsidR="00FF131F" w:rsidRDefault="00FF131F">
      <w:pPr>
        <w:jc w:val="both"/>
        <w:rPr>
          <w:sz w:val="8"/>
        </w:rPr>
      </w:pPr>
    </w:p>
    <w:p w14:paraId="381F6B78" w14:textId="77777777" w:rsidR="00FF131F" w:rsidRDefault="00FF131F">
      <w:pPr>
        <w:jc w:val="both"/>
        <w:rPr>
          <w:sz w:val="8"/>
        </w:rPr>
      </w:pPr>
    </w:p>
    <w:p w14:paraId="286A9EEE" w14:textId="77777777" w:rsidR="00FF131F" w:rsidRDefault="0053026B">
      <w:pPr>
        <w:jc w:val="both"/>
        <w:rPr>
          <w:sz w:val="20"/>
        </w:rPr>
      </w:pPr>
      <w:r>
        <w:rPr>
          <w:b/>
          <w:bCs/>
        </w:rPr>
        <w:t>Cost Estimate</w:t>
      </w:r>
    </w:p>
    <w:tbl>
      <w:tblPr>
        <w:tblW w:w="101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41"/>
        <w:gridCol w:w="5532"/>
        <w:gridCol w:w="1530"/>
      </w:tblGrid>
      <w:tr w:rsidR="0053026B" w14:paraId="4D18D36B" w14:textId="77777777" w:rsidTr="0053026B">
        <w:trPr>
          <w:cantSplit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DD1D" w14:textId="77777777" w:rsidR="0053026B" w:rsidRDefault="0053026B">
            <w:pPr>
              <w:jc w:val="both"/>
              <w:rPr>
                <w:sz w:val="20"/>
              </w:rPr>
            </w:pPr>
            <w:r>
              <w:rPr>
                <w:sz w:val="20"/>
              </w:rPr>
              <w:t>Vendor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7469" w14:textId="77777777" w:rsidR="0053026B" w:rsidRDefault="0053026B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 of Expense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8F93" w14:textId="77777777" w:rsidR="0053026B" w:rsidRDefault="0053026B">
            <w:pPr>
              <w:jc w:val="both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53026B" w14:paraId="4FD760B7" w14:textId="77777777" w:rsidTr="0053026B">
        <w:trPr>
          <w:cantSplit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989F" w14:textId="77777777" w:rsidR="0053026B" w:rsidRDefault="0053026B">
            <w:pPr>
              <w:snapToGrid w:val="0"/>
              <w:jc w:val="both"/>
            </w:pPr>
          </w:p>
          <w:p w14:paraId="09B2E30F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5B04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7482" w14:textId="77777777" w:rsidR="0053026B" w:rsidRDefault="0053026B">
            <w:pPr>
              <w:snapToGrid w:val="0"/>
              <w:jc w:val="both"/>
            </w:pPr>
          </w:p>
        </w:tc>
      </w:tr>
      <w:tr w:rsidR="0053026B" w14:paraId="357A9527" w14:textId="77777777" w:rsidTr="0053026B">
        <w:trPr>
          <w:cantSplit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1CE2" w14:textId="77777777" w:rsidR="0053026B" w:rsidRDefault="0053026B">
            <w:pPr>
              <w:snapToGrid w:val="0"/>
              <w:jc w:val="both"/>
            </w:pPr>
          </w:p>
          <w:p w14:paraId="43AEB9C2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0F09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91A7" w14:textId="77777777" w:rsidR="0053026B" w:rsidRDefault="0053026B">
            <w:pPr>
              <w:snapToGrid w:val="0"/>
              <w:jc w:val="both"/>
            </w:pPr>
          </w:p>
        </w:tc>
      </w:tr>
      <w:tr w:rsidR="0053026B" w14:paraId="5DA6F377" w14:textId="77777777" w:rsidTr="0053026B">
        <w:trPr>
          <w:cantSplit/>
          <w:trHeight w:val="562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B8B8B5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92D2CA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D83D3" w14:textId="77777777" w:rsidR="0053026B" w:rsidRDefault="0053026B">
            <w:pPr>
              <w:snapToGrid w:val="0"/>
              <w:jc w:val="both"/>
            </w:pPr>
          </w:p>
        </w:tc>
      </w:tr>
      <w:tr w:rsidR="0053026B" w14:paraId="1CB90290" w14:textId="77777777" w:rsidTr="0053026B">
        <w:trPr>
          <w:cantSplit/>
          <w:trHeight w:val="56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16D0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E9309B3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7CD3B" w14:textId="77777777" w:rsidR="0053026B" w:rsidRDefault="0053026B">
            <w:pPr>
              <w:snapToGrid w:val="0"/>
              <w:jc w:val="both"/>
            </w:pPr>
          </w:p>
        </w:tc>
      </w:tr>
      <w:tr w:rsidR="0053026B" w14:paraId="564425C7" w14:textId="77777777" w:rsidTr="00936B31">
        <w:trPr>
          <w:cantSplit/>
          <w:trHeight w:val="56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415A6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1DF31C9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5B380" w14:textId="77777777" w:rsidR="0053026B" w:rsidRDefault="0053026B">
            <w:pPr>
              <w:snapToGrid w:val="0"/>
              <w:jc w:val="both"/>
            </w:pPr>
          </w:p>
        </w:tc>
      </w:tr>
      <w:tr w:rsidR="0053026B" w14:paraId="70BD7E73" w14:textId="77777777" w:rsidTr="0053026B">
        <w:trPr>
          <w:cantSplit/>
        </w:trPr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3796" w14:textId="77777777" w:rsidR="0053026B" w:rsidRDefault="0053026B">
            <w:pPr>
              <w:snapToGrid w:val="0"/>
              <w:jc w:val="both"/>
            </w:pPr>
          </w:p>
          <w:p w14:paraId="78E3255E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89F9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F4FE" w14:textId="77777777" w:rsidR="0053026B" w:rsidRDefault="0053026B">
            <w:pPr>
              <w:snapToGrid w:val="0"/>
              <w:jc w:val="both"/>
            </w:pPr>
          </w:p>
        </w:tc>
      </w:tr>
      <w:tr w:rsidR="0053026B" w14:paraId="6D840FA8" w14:textId="77777777" w:rsidTr="0053026B">
        <w:trPr>
          <w:cantSplit/>
        </w:trPr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FB3D" w14:textId="77777777" w:rsidR="0053026B" w:rsidRDefault="0053026B" w:rsidP="0053026B">
            <w:pPr>
              <w:snapToGrid w:val="0"/>
              <w:jc w:val="right"/>
            </w:pPr>
            <w:r>
              <w:t>Total Requested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1791" w14:textId="77777777" w:rsidR="0053026B" w:rsidRDefault="0053026B">
            <w:pPr>
              <w:snapToGrid w:val="0"/>
              <w:jc w:val="both"/>
            </w:pPr>
          </w:p>
        </w:tc>
      </w:tr>
    </w:tbl>
    <w:p w14:paraId="7E599524" w14:textId="77777777" w:rsidR="00FF131F" w:rsidRDefault="00FF131F">
      <w:pPr>
        <w:jc w:val="both"/>
        <w:rPr>
          <w:sz w:val="8"/>
        </w:rPr>
      </w:pPr>
    </w:p>
    <w:p w14:paraId="4DBB82AF" w14:textId="77777777" w:rsidR="0053026B" w:rsidRDefault="0053026B" w:rsidP="00D918B3">
      <w:pPr>
        <w:jc w:val="both"/>
        <w:rPr>
          <w:b/>
          <w:bCs/>
        </w:rPr>
      </w:pPr>
    </w:p>
    <w:p w14:paraId="2D91501D" w14:textId="77777777" w:rsidR="0053026B" w:rsidRDefault="0053026B" w:rsidP="00D918B3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>Submitted by: ____________________________________________</w:t>
      </w:r>
      <w:proofErr w:type="gramStart"/>
      <w:r>
        <w:rPr>
          <w:b/>
          <w:bCs/>
        </w:rPr>
        <w:t>_  Date</w:t>
      </w:r>
      <w:proofErr w:type="gramEnd"/>
      <w:r>
        <w:rPr>
          <w:b/>
          <w:bCs/>
        </w:rPr>
        <w:t>: __________________</w:t>
      </w:r>
    </w:p>
    <w:p w14:paraId="3ABB2886" w14:textId="77777777" w:rsidR="0053026B" w:rsidRDefault="0053026B" w:rsidP="00D918B3">
      <w:pPr>
        <w:pBdr>
          <w:bottom w:val="single" w:sz="12" w:space="1" w:color="auto"/>
        </w:pBdr>
        <w:jc w:val="both"/>
        <w:rPr>
          <w:b/>
          <w:bCs/>
        </w:rPr>
      </w:pPr>
    </w:p>
    <w:p w14:paraId="390E7B2A" w14:textId="77777777" w:rsidR="0053026B" w:rsidRDefault="0053026B" w:rsidP="00D918B3">
      <w:pPr>
        <w:jc w:val="both"/>
        <w:rPr>
          <w:b/>
          <w:bCs/>
        </w:rPr>
      </w:pPr>
    </w:p>
    <w:p w14:paraId="7B97D5F7" w14:textId="77777777" w:rsidR="00FF131F" w:rsidRDefault="00FF131F" w:rsidP="00D918B3">
      <w:pPr>
        <w:jc w:val="both"/>
      </w:pPr>
      <w:r>
        <w:rPr>
          <w:b/>
          <w:bCs/>
        </w:rPr>
        <w:t xml:space="preserve">Approval of </w:t>
      </w:r>
      <w:r w:rsidR="00D918B3">
        <w:rPr>
          <w:b/>
          <w:bCs/>
        </w:rPr>
        <w:t>A&amp;S GSO Administrative Assistant</w:t>
      </w:r>
    </w:p>
    <w:p w14:paraId="0AF87186" w14:textId="77777777" w:rsidR="00FF131F" w:rsidRDefault="00FF131F">
      <w:pPr>
        <w:jc w:val="both"/>
      </w:pPr>
      <w:r>
        <w:t xml:space="preserve">PRINT Name:  </w:t>
      </w:r>
      <w:r w:rsidR="00B4301A">
        <w:t>Michael O’Brien</w:t>
      </w:r>
      <w:r>
        <w:t xml:space="preserve">  </w:t>
      </w:r>
    </w:p>
    <w:p w14:paraId="7827E0D7" w14:textId="77777777" w:rsidR="00FF131F" w:rsidRDefault="00FF131F">
      <w:pPr>
        <w:jc w:val="both"/>
      </w:pPr>
    </w:p>
    <w:p w14:paraId="2CE99D08" w14:textId="77777777" w:rsidR="00FF131F" w:rsidRDefault="00FF131F">
      <w:pPr>
        <w:jc w:val="both"/>
      </w:pPr>
      <w:r>
        <w:t>Signature:  ___________________________________</w:t>
      </w:r>
      <w:proofErr w:type="gramStart"/>
      <w:r>
        <w:t>_  Date</w:t>
      </w:r>
      <w:proofErr w:type="gramEnd"/>
      <w:r>
        <w:t>: ____________</w:t>
      </w:r>
    </w:p>
    <w:sectPr w:rsidR="00FF131F">
      <w:headerReference w:type="default" r:id="rId12"/>
      <w:footerReference w:type="default" r:id="rId13"/>
      <w:pgSz w:w="12240" w:h="15840"/>
      <w:pgMar w:top="776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948B" w14:textId="77777777" w:rsidR="00EA3773" w:rsidRDefault="00EA3773">
      <w:r>
        <w:separator/>
      </w:r>
    </w:p>
  </w:endnote>
  <w:endnote w:type="continuationSeparator" w:id="0">
    <w:p w14:paraId="0F709603" w14:textId="77777777" w:rsidR="00EA3773" w:rsidRDefault="00EA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59C6" w14:textId="3CD16A5F" w:rsidR="00FF131F" w:rsidRDefault="00FF131F">
    <w:pPr>
      <w:pStyle w:val="Footer"/>
      <w:tabs>
        <w:tab w:val="clear" w:pos="8640"/>
        <w:tab w:val="right" w:pos="9911"/>
      </w:tabs>
    </w:pPr>
    <w:r>
      <w:tab/>
    </w:r>
    <w:r>
      <w:tab/>
    </w:r>
    <w:r>
      <w:rPr>
        <w:sz w:val="18"/>
      </w:rPr>
      <w:t xml:space="preserve">Revised </w:t>
    </w:r>
    <w:r>
      <w:rPr>
        <w:sz w:val="18"/>
      </w:rPr>
      <w:fldChar w:fldCharType="begin"/>
    </w:r>
    <w:r>
      <w:rPr>
        <w:sz w:val="18"/>
      </w:rPr>
      <w:instrText xml:space="preserve"> DATE \@"M\/d\/yy" </w:instrText>
    </w:r>
    <w:r>
      <w:rPr>
        <w:sz w:val="18"/>
      </w:rPr>
      <w:fldChar w:fldCharType="separate"/>
    </w:r>
    <w:r w:rsidR="00FB354C">
      <w:rPr>
        <w:noProof/>
        <w:sz w:val="18"/>
      </w:rPr>
      <w:t>1/14/22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374B" w14:textId="77777777" w:rsidR="00EA3773" w:rsidRDefault="00EA3773">
      <w:r>
        <w:separator/>
      </w:r>
    </w:p>
  </w:footnote>
  <w:footnote w:type="continuationSeparator" w:id="0">
    <w:p w14:paraId="048383AA" w14:textId="77777777" w:rsidR="00EA3773" w:rsidRDefault="00EA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CE88" w14:textId="77777777" w:rsidR="00FF131F" w:rsidRPr="00D918B3" w:rsidRDefault="00FF131F">
    <w:pPr>
      <w:pStyle w:val="Header"/>
      <w:tabs>
        <w:tab w:val="clear" w:pos="8640"/>
        <w:tab w:val="right" w:pos="9911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formsDesign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3"/>
    <w:rsid w:val="000C1C5E"/>
    <w:rsid w:val="001B08FC"/>
    <w:rsid w:val="003E27CE"/>
    <w:rsid w:val="00472EDA"/>
    <w:rsid w:val="004F2877"/>
    <w:rsid w:val="0053026B"/>
    <w:rsid w:val="005E4020"/>
    <w:rsid w:val="00612EB1"/>
    <w:rsid w:val="006826A1"/>
    <w:rsid w:val="007037CA"/>
    <w:rsid w:val="00721E18"/>
    <w:rsid w:val="008E0751"/>
    <w:rsid w:val="00903847"/>
    <w:rsid w:val="00936B31"/>
    <w:rsid w:val="00B4301A"/>
    <w:rsid w:val="00BC6486"/>
    <w:rsid w:val="00C0168F"/>
    <w:rsid w:val="00C812FB"/>
    <w:rsid w:val="00D21710"/>
    <w:rsid w:val="00D918B3"/>
    <w:rsid w:val="00E01542"/>
    <w:rsid w:val="00EA3773"/>
    <w:rsid w:val="00EB4BF7"/>
    <w:rsid w:val="00F26D57"/>
    <w:rsid w:val="00FB354C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17757"/>
  <w15:chartTrackingRefBased/>
  <w15:docId w15:val="{F93767E5-918C-4CCC-8B0F-E16B5DFD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qFormat/>
    <w:pPr>
      <w:jc w:val="both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B3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so.pitt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gso@pitt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gso.pit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gso@pitt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</vt:lpstr>
    </vt:vector>
  </TitlesOfParts>
  <Company>University of Pittsburgh</Company>
  <LinksUpToDate>false</LinksUpToDate>
  <CharactersWithSpaces>772</CharactersWithSpaces>
  <SharedDoc>false</SharedDoc>
  <HLinks>
    <vt:vector size="12" baseType="variant">
      <vt:variant>
        <vt:i4>4522098</vt:i4>
      </vt:variant>
      <vt:variant>
        <vt:i4>3</vt:i4>
      </vt:variant>
      <vt:variant>
        <vt:i4>0</vt:i4>
      </vt:variant>
      <vt:variant>
        <vt:i4>5</vt:i4>
      </vt:variant>
      <vt:variant>
        <vt:lpwstr>mailto:asgso@pitt.edu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mailto:asgso.pitt@gmail.com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</dc:title>
  <dc:subject/>
  <dc:creator>Cathy Serventi</dc:creator>
  <cp:keywords/>
  <cp:lastModifiedBy>Michael O'Brien</cp:lastModifiedBy>
  <cp:revision>2</cp:revision>
  <cp:lastPrinted>2013-03-18T16:11:00Z</cp:lastPrinted>
  <dcterms:created xsi:type="dcterms:W3CDTF">2022-01-14T19:34:00Z</dcterms:created>
  <dcterms:modified xsi:type="dcterms:W3CDTF">2022-01-14T19:34:00Z</dcterms:modified>
</cp:coreProperties>
</file>